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6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696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696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</w:t>
      </w:r>
      <w:r>
        <w:rPr>
          <w:rFonts w:ascii="Liberation Serif" w:hAnsi="Liberation Serif" w:cs="Liberation Serif"/>
          <w:bCs/>
        </w:rPr>
        <w:t xml:space="preserve">по рассмотрению первых частей заявок</w:t>
      </w:r>
      <w:r>
        <w:rPr>
          <w:rFonts w:ascii="Liberation Serif" w:hAnsi="Liberation Serif" w:cs="Liberation Serif"/>
          <w:bCs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696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Томск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 </w:t>
            </w:r>
            <w:r>
              <w:rPr>
                <w:rFonts w:ascii="Liberation Serif" w:hAnsi="Liberation Serif" w:cs="Liberation Serif"/>
              </w:rPr>
              <w:t xml:space="preserve">221085</w:t>
            </w:r>
            <w:r>
              <w:rPr>
                <w:rFonts w:ascii="Liberation Serif" w:hAnsi="Liberation Serif" w:cs="Liberation Serif"/>
              </w:rPr>
              <w:t xml:space="preserve">/ППЧ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Ремонт и техническое обслуживание автотранспорта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</w:t>
            </w:r>
            <w:r>
              <w:rPr>
                <w:rFonts w:ascii="Liberation Serif" w:hAnsi="Liberation Serif" w:cs="Liberation Serif"/>
              </w:rPr>
              <w:t xml:space="preserve">27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ноября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 </w:t>
            </w:r>
            <w:r>
              <w:rPr>
                <w:rFonts w:ascii="Liberation Serif" w:hAnsi="Liberation Serif" w:cs="Liberation Serif"/>
              </w:rPr>
              <w:t xml:space="preserve">12</w:t>
            </w:r>
            <w:r>
              <w:rPr>
                <w:rFonts w:ascii="Liberation Serif" w:hAnsi="Liberation Serif" w:cs="Liberation Serif"/>
              </w:rPr>
              <w:t xml:space="preserve">:</w:t>
            </w:r>
            <w:r>
              <w:rPr>
                <w:rFonts w:ascii="Liberation Serif" w:hAnsi="Liberation Serif" w:cs="Liberation Serif"/>
              </w:rPr>
              <w:t xml:space="preserve">00</w:t>
            </w:r>
            <w:r>
              <w:rPr>
                <w:rFonts w:ascii="Liberation Serif" w:hAnsi="Liberation Serif" w:cs="Liberation Serif"/>
              </w:rPr>
              <w:t xml:space="preserve">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</w:t>
            </w:r>
            <w:r>
              <w:rPr>
                <w:rFonts w:ascii="Liberation Serif" w:hAnsi="Liberation Serif" w:cs="Liberation Serif"/>
              </w:rPr>
              <w:t xml:space="preserve">27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  <w:t xml:space="preserve"> ноября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</w:t>
            </w:r>
            <w:r>
              <w:rPr>
                <w:rFonts w:ascii="Liberation Serif" w:hAnsi="Liberation Serif" w:cs="Liberation Serif"/>
              </w:rPr>
              <w:t xml:space="preserve">2</w:t>
            </w:r>
            <w:r>
              <w:rPr>
                <w:rFonts w:ascii="Liberation Serif" w:hAnsi="Liberation Serif" w:cs="Liberation Serif"/>
              </w:rPr>
              <w:t xml:space="preserve">5</w:t>
            </w:r>
            <w:r>
              <w:rPr>
                <w:rFonts w:ascii="Liberation Serif" w:hAnsi="Liberation Serif" w:cs="Liberation Serif"/>
              </w:rPr>
              <w:t xml:space="preserve">г.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1 550 129,40</w:t>
            </w:r>
            <w:r>
              <w:rPr>
                <w:rFonts w:ascii="Liberation Serif" w:hAnsi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696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</w:t>
            </w:r>
            <w:r>
              <w:rPr>
                <w:rFonts w:ascii="Liberation Serif" w:hAnsi="Liberation Serif" w:cs="Liberation Serif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696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ПОВЕСТКА:</w:t>
      </w:r>
      <w:r>
        <w:rPr>
          <w:rFonts w:ascii="Liberation Serif" w:hAnsi="Liberation Serif" w:cs="Liberation Serif"/>
          <w:b/>
        </w:rPr>
      </w:r>
    </w:p>
    <w:p>
      <w:pPr>
        <w:pStyle w:val="696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заявок.</w:t>
      </w:r>
      <w:r>
        <w:rPr>
          <w:rFonts w:ascii="Liberation Serif" w:hAnsi="Liberation Serif" w:cs="Liberation Serif"/>
        </w:rPr>
      </w:r>
    </w:p>
    <w:p>
      <w:pPr>
        <w:pStyle w:val="696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 признании заявок удовлетворяющими требованиям закупки.</w:t>
      </w:r>
      <w:r>
        <w:rPr>
          <w:rFonts w:ascii="Liberation Serif" w:hAnsi="Liberation Serif" w:cs="Liberation Serif"/>
          <w:color w:val="000000"/>
        </w:rPr>
      </w:r>
    </w:p>
    <w:p>
      <w:pPr>
        <w:pStyle w:val="696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696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</w:p>
    <w:p>
      <w:pPr>
        <w:pStyle w:val="696"/>
        <w:jc w:val="both"/>
        <w:spacing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был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подан</w:t>
      </w:r>
      <w:r>
        <w:rPr>
          <w:rFonts w:ascii="Liberation Serif" w:hAnsi="Liberation Serif" w:cs="Liberation Serif"/>
        </w:rPr>
        <w:t xml:space="preserve">а 1 (одна)</w:t>
      </w:r>
      <w:r>
        <w:rPr>
          <w:rFonts w:ascii="Liberation Serif" w:hAnsi="Liberation Serif" w:cs="Liberation Serif"/>
        </w:rPr>
        <w:t xml:space="preserve"> заявк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696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6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696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696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696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696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696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696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696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22.11.2025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06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37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:50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pStyle w:val="696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</w:p>
    <w:p>
      <w:pPr>
        <w:pStyle w:val="69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</w:t>
      </w:r>
      <w:r>
        <w:rPr>
          <w:rFonts w:ascii="Liberation Serif" w:hAnsi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9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</w:t>
      </w:r>
      <w:r>
        <w:rPr>
          <w:rFonts w:ascii="Liberation Serif" w:hAnsi="Liberation Serif" w:cs="Liberation Serif"/>
        </w:rPr>
        <w:t xml:space="preserve">Закупочной</w:t>
      </w:r>
      <w:r>
        <w:rPr>
          <w:rFonts w:ascii="Liberation Serif" w:hAnsi="Liberation Serif" w:cs="Liberation Serif"/>
        </w:rPr>
        <w:t xml:space="preserve"> комиссии изучили поступивш</w:t>
      </w:r>
      <w:r>
        <w:rPr>
          <w:rFonts w:ascii="Liberation Serif" w:hAnsi="Liberation Serif" w:cs="Liberation Serif"/>
        </w:rPr>
        <w:t xml:space="preserve">ую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. Результаты оценки сведены в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9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предлагается </w:t>
      </w: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96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повестки:</w:t>
      </w:r>
      <w:r>
        <w:rPr>
          <w:rFonts w:ascii="Liberation Serif" w:hAnsi="Liberation Serif" w:cs="Liberation Serif"/>
          <w:b/>
        </w:rPr>
      </w:r>
    </w:p>
    <w:p>
      <w:pPr>
        <w:pStyle w:val="696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Участника №1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</w:t>
      </w:r>
      <w:r>
        <w:rPr>
          <w:rFonts w:ascii="Liberation Serif" w:hAnsi="Liberation Serif" w:cs="Liberation Serif"/>
        </w:rPr>
        <w:t xml:space="preserve">ей</w:t>
      </w:r>
      <w:r>
        <w:rPr>
          <w:rFonts w:ascii="Liberation Serif" w:hAnsi="Liberation Serif" w:cs="Liberation Serif"/>
        </w:rPr>
        <w:t xml:space="preserve"> требованиям закупки в соответствии со Сводным отчетом Экспертной группы (приложение №1)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96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</w:p>
    <w:p>
      <w:pPr>
        <w:pStyle w:val="69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pStyle w:val="69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</w:t>
      </w:r>
      <w:r>
        <w:rPr>
          <w:rFonts w:ascii="Liberation Serif" w:hAnsi="Liberation Serif" w:cs="Liberation Serif"/>
        </w:rPr>
        <w:t xml:space="preserve">заявк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Участника №1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удовлетворяющ</w:t>
      </w:r>
      <w:r>
        <w:rPr>
          <w:rFonts w:ascii="Liberation Serif" w:hAnsi="Liberation Serif" w:cs="Liberation Serif"/>
        </w:rPr>
        <w:t xml:space="preserve">ей</w:t>
      </w:r>
      <w:r>
        <w:rPr>
          <w:rFonts w:ascii="Liberation Serif" w:hAnsi="Liberation Serif" w:cs="Liberation Serif"/>
        </w:rPr>
        <w:t xml:space="preserve"> требованиям в соответствии со Сводным отчетом Экспертной группы (приложение №1).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021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71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6"/>
    <w:next w:val="69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6"/>
    <w:next w:val="69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6"/>
    <w:next w:val="69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6"/>
    <w:next w:val="69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6"/>
    <w:next w:val="69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6"/>
    <w:next w:val="69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6"/>
    <w:next w:val="69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6"/>
    <w:next w:val="69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6"/>
    <w:next w:val="69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6"/>
    <w:next w:val="69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96"/>
    <w:next w:val="69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96"/>
    <w:next w:val="69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6"/>
    <w:next w:val="69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9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96"/>
    <w:next w:val="69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9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96"/>
    <w:next w:val="69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6"/>
    <w:next w:val="69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6"/>
    <w:next w:val="69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6"/>
    <w:next w:val="69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6"/>
    <w:next w:val="69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6"/>
    <w:next w:val="69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6"/>
    <w:next w:val="69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6"/>
    <w:next w:val="69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6"/>
    <w:next w:val="69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6"/>
    <w:next w:val="696"/>
    <w:uiPriority w:val="99"/>
    <w:unhideWhenUsed/>
    <w:pPr>
      <w:spacing w:after="0" w:afterAutospacing="0"/>
    </w:pPr>
  </w:style>
  <w:style w:type="paragraph" w:styleId="696" w:default="1">
    <w:name w:val="Normal"/>
    <w:next w:val="696"/>
    <w:link w:val="696"/>
    <w:qFormat/>
    <w:rPr>
      <w:sz w:val="24"/>
      <w:szCs w:val="24"/>
      <w:lang w:val="ru-RU" w:eastAsia="ru-RU" w:bidi="ar-SA"/>
    </w:rPr>
  </w:style>
  <w:style w:type="paragraph" w:styleId="69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696"/>
    <w:next w:val="696"/>
    <w:link w:val="69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69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696"/>
    <w:next w:val="696"/>
    <w:link w:val="72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699">
    <w:name w:val="Основной шрифт абзаца"/>
    <w:next w:val="699"/>
    <w:link w:val="696"/>
    <w:semiHidden/>
  </w:style>
  <w:style w:type="table" w:styleId="700">
    <w:name w:val="Обычная таблица"/>
    <w:next w:val="700"/>
    <w:link w:val="696"/>
    <w:semiHidden/>
    <w:tblPr/>
  </w:style>
  <w:style w:type="numbering" w:styleId="701">
    <w:name w:val="Нет списка"/>
    <w:next w:val="701"/>
    <w:link w:val="696"/>
    <w:semiHidden/>
  </w:style>
  <w:style w:type="paragraph" w:styleId="702">
    <w:name w:val="Default Paragraph Font Para Char Char Знак"/>
    <w:basedOn w:val="696"/>
    <w:next w:val="702"/>
    <w:link w:val="6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03">
    <w:name w:val="Верхний колонтитул"/>
    <w:basedOn w:val="696"/>
    <w:next w:val="703"/>
    <w:link w:val="733"/>
    <w:uiPriority w:val="99"/>
    <w:pPr>
      <w:tabs>
        <w:tab w:val="center" w:pos="4677" w:leader="none"/>
        <w:tab w:val="right" w:pos="9355" w:leader="none"/>
      </w:tabs>
    </w:pPr>
  </w:style>
  <w:style w:type="character" w:styleId="704">
    <w:name w:val="Номер страницы"/>
    <w:basedOn w:val="699"/>
    <w:next w:val="704"/>
    <w:link w:val="696"/>
  </w:style>
  <w:style w:type="paragraph" w:styleId="705">
    <w:name w:val="Таблица шапка"/>
    <w:basedOn w:val="696"/>
    <w:next w:val="705"/>
    <w:link w:val="696"/>
    <w:pPr>
      <w:ind w:left="57" w:right="57"/>
      <w:keepNext/>
      <w:spacing w:before="40" w:after="40"/>
    </w:pPr>
    <w:rPr>
      <w:sz w:val="22"/>
      <w:szCs w:val="20"/>
    </w:rPr>
  </w:style>
  <w:style w:type="paragraph" w:styleId="706">
    <w:name w:val="Таблица текст"/>
    <w:basedOn w:val="696"/>
    <w:next w:val="706"/>
    <w:link w:val="696"/>
    <w:pPr>
      <w:ind w:left="57" w:right="57"/>
      <w:spacing w:before="40" w:after="40"/>
    </w:pPr>
    <w:rPr>
      <w:szCs w:val="20"/>
    </w:rPr>
  </w:style>
  <w:style w:type="character" w:styleId="707">
    <w:name w:val="комментарий"/>
    <w:next w:val="707"/>
    <w:link w:val="696"/>
    <w:rPr>
      <w:b/>
      <w:i/>
      <w:shd w:val="clear" w:color="auto" w:fill="ffff99"/>
    </w:rPr>
  </w:style>
  <w:style w:type="paragraph" w:styleId="708">
    <w:name w:val="Схема документа"/>
    <w:basedOn w:val="696"/>
    <w:next w:val="708"/>
    <w:link w:val="69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09">
    <w:name w:val="Текст выноски"/>
    <w:basedOn w:val="696"/>
    <w:next w:val="709"/>
    <w:link w:val="696"/>
    <w:semiHidden/>
    <w:rPr>
      <w:rFonts w:ascii="Tahoma" w:hAnsi="Tahoma" w:cs="Tahoma"/>
      <w:sz w:val="16"/>
      <w:szCs w:val="16"/>
    </w:rPr>
  </w:style>
  <w:style w:type="table" w:styleId="710">
    <w:name w:val="Сетка таблицы"/>
    <w:basedOn w:val="700"/>
    <w:next w:val="710"/>
    <w:link w:val="696"/>
    <w:pPr>
      <w:ind w:firstLine="567"/>
      <w:jc w:val="both"/>
      <w:spacing w:line="360" w:lineRule="auto"/>
    </w:pPr>
    <w:tblPr/>
  </w:style>
  <w:style w:type="paragraph" w:styleId="711">
    <w:name w:val="Нижний колонтитул"/>
    <w:basedOn w:val="696"/>
    <w:next w:val="711"/>
    <w:link w:val="71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12">
    <w:name w:val="Комментраий Знак"/>
    <w:next w:val="712"/>
    <w:link w:val="696"/>
    <w:rPr>
      <w:i/>
      <w:color w:val="3366ff"/>
      <w:sz w:val="28"/>
      <w:szCs w:val="28"/>
      <w:lang w:val="ru-RU" w:eastAsia="ru-RU" w:bidi="ar-SA"/>
    </w:rPr>
  </w:style>
  <w:style w:type="table" w:styleId="713">
    <w:name w:val="Сетка таблицы1"/>
    <w:basedOn w:val="700"/>
    <w:next w:val="710"/>
    <w:link w:val="696"/>
    <w:tblPr/>
  </w:style>
  <w:style w:type="character" w:styleId="714">
    <w:name w:val="Нижний колонтитул Знак"/>
    <w:next w:val="714"/>
    <w:link w:val="711"/>
    <w:uiPriority w:val="99"/>
    <w:rPr>
      <w:sz w:val="24"/>
      <w:szCs w:val="24"/>
    </w:rPr>
  </w:style>
  <w:style w:type="paragraph" w:styleId="715">
    <w:name w:val="Обычный (веб)"/>
    <w:basedOn w:val="696"/>
    <w:next w:val="715"/>
    <w:link w:val="69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16">
    <w:name w:val="Подподпункт"/>
    <w:basedOn w:val="696"/>
    <w:next w:val="716"/>
    <w:link w:val="71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717">
    <w:name w:val="Подподпункт Знак"/>
    <w:next w:val="717"/>
    <w:link w:val="716"/>
    <w:rPr>
      <w:sz w:val="28"/>
    </w:rPr>
  </w:style>
  <w:style w:type="paragraph" w:styleId="718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696"/>
    <w:next w:val="718"/>
    <w:link w:val="732"/>
    <w:uiPriority w:val="34"/>
    <w:qFormat/>
    <w:pPr>
      <w:contextualSpacing/>
      <w:ind w:left="720"/>
      <w:widowControl w:val="off"/>
    </w:pPr>
  </w:style>
  <w:style w:type="character" w:styleId="719">
    <w:name w:val="Font Style128"/>
    <w:next w:val="719"/>
    <w:link w:val="696"/>
    <w:rPr>
      <w:rFonts w:ascii="Times New Roman" w:hAnsi="Times New Roman" w:cs="Times New Roman"/>
      <w:color w:val="000000"/>
      <w:sz w:val="26"/>
      <w:szCs w:val="26"/>
    </w:rPr>
  </w:style>
  <w:style w:type="character" w:styleId="720">
    <w:name w:val="Заголовок 2 Знак"/>
    <w:next w:val="720"/>
    <w:link w:val="698"/>
    <w:uiPriority w:val="99"/>
    <w:rPr>
      <w:b/>
      <w:sz w:val="32"/>
    </w:rPr>
  </w:style>
  <w:style w:type="paragraph" w:styleId="721">
    <w:name w:val="Пункт"/>
    <w:basedOn w:val="696"/>
    <w:next w:val="721"/>
    <w:link w:val="69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722">
    <w:name w:val="Основной текст с отступом"/>
    <w:basedOn w:val="696"/>
    <w:next w:val="722"/>
    <w:link w:val="723"/>
    <w:pPr>
      <w:ind w:left="-720"/>
      <w:jc w:val="both"/>
    </w:pPr>
    <w:rPr>
      <w:lang w:val="en-US" w:eastAsia="en-US"/>
    </w:rPr>
  </w:style>
  <w:style w:type="character" w:styleId="723">
    <w:name w:val="Основной текст с отступом Знак"/>
    <w:next w:val="723"/>
    <w:link w:val="722"/>
    <w:rPr>
      <w:sz w:val="24"/>
      <w:szCs w:val="24"/>
    </w:rPr>
  </w:style>
  <w:style w:type="paragraph" w:styleId="724">
    <w:name w:val="Нумерованный список"/>
    <w:basedOn w:val="725"/>
    <w:next w:val="724"/>
    <w:link w:val="69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725">
    <w:name w:val="Основной текст"/>
    <w:basedOn w:val="696"/>
    <w:next w:val="725"/>
    <w:link w:val="726"/>
    <w:pPr>
      <w:spacing w:after="120"/>
    </w:pPr>
    <w:rPr>
      <w:lang w:val="en-US" w:eastAsia="en-US"/>
    </w:rPr>
  </w:style>
  <w:style w:type="character" w:styleId="726">
    <w:name w:val="Основной текст Знак"/>
    <w:next w:val="726"/>
    <w:link w:val="725"/>
    <w:rPr>
      <w:sz w:val="24"/>
      <w:szCs w:val="24"/>
    </w:rPr>
  </w:style>
  <w:style w:type="character" w:styleId="727">
    <w:name w:val="Знак примечания"/>
    <w:next w:val="727"/>
    <w:link w:val="696"/>
    <w:rPr>
      <w:sz w:val="16"/>
      <w:szCs w:val="16"/>
    </w:rPr>
  </w:style>
  <w:style w:type="paragraph" w:styleId="728">
    <w:name w:val="Текст примечания"/>
    <w:basedOn w:val="696"/>
    <w:next w:val="728"/>
    <w:link w:val="729"/>
    <w:rPr>
      <w:sz w:val="20"/>
      <w:szCs w:val="20"/>
    </w:rPr>
  </w:style>
  <w:style w:type="character" w:styleId="729">
    <w:name w:val="Текст примечания Знак"/>
    <w:basedOn w:val="699"/>
    <w:next w:val="729"/>
    <w:link w:val="728"/>
  </w:style>
  <w:style w:type="paragraph" w:styleId="730">
    <w:name w:val="Тема примечания"/>
    <w:basedOn w:val="728"/>
    <w:next w:val="728"/>
    <w:link w:val="731"/>
    <w:rPr>
      <w:b/>
      <w:bCs/>
      <w:lang w:val="en-US" w:eastAsia="en-US"/>
    </w:rPr>
  </w:style>
  <w:style w:type="character" w:styleId="731">
    <w:name w:val="Тема примечания Знак"/>
    <w:next w:val="731"/>
    <w:link w:val="730"/>
    <w:rPr>
      <w:b/>
      <w:bCs/>
    </w:rPr>
  </w:style>
  <w:style w:type="character" w:styleId="732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732"/>
    <w:link w:val="718"/>
    <w:uiPriority w:val="34"/>
    <w:qFormat/>
    <w:rPr>
      <w:sz w:val="24"/>
      <w:szCs w:val="24"/>
    </w:rPr>
  </w:style>
  <w:style w:type="character" w:styleId="733">
    <w:name w:val="Верхний колонтитул Знак"/>
    <w:next w:val="733"/>
    <w:link w:val="703"/>
    <w:uiPriority w:val="99"/>
    <w:rPr>
      <w:sz w:val="24"/>
      <w:szCs w:val="24"/>
    </w:rPr>
  </w:style>
  <w:style w:type="character" w:styleId="2020" w:default="1">
    <w:name w:val="Default Paragraph Font"/>
    <w:uiPriority w:val="1"/>
    <w:semiHidden/>
    <w:unhideWhenUsed/>
  </w:style>
  <w:style w:type="numbering" w:styleId="2021" w:default="1">
    <w:name w:val="No List"/>
    <w:uiPriority w:val="99"/>
    <w:semiHidden/>
    <w:unhideWhenUsed/>
  </w:style>
  <w:style w:type="table" w:styleId="20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2</cp:revision>
  <dcterms:created xsi:type="dcterms:W3CDTF">2023-09-22T02:28:00Z</dcterms:created>
  <dcterms:modified xsi:type="dcterms:W3CDTF">2025-11-27T05:13:58Z</dcterms:modified>
  <cp:version>1048576</cp:version>
</cp:coreProperties>
</file>